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9" w:rsidRPr="00C81948" w:rsidRDefault="000C1389" w:rsidP="000C138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Empresa Distribuidora Atacadista situada na Serra Seleciona: </w:t>
      </w:r>
      <w:r w:rsidRPr="00C81948">
        <w:rPr>
          <w:rFonts w:ascii="Calibri" w:eastAsia="Times New Roman" w:hAnsi="Calibri" w:cs="Arial"/>
          <w:b/>
          <w:bCs/>
          <w:color w:val="222222"/>
          <w:sz w:val="19"/>
          <w:szCs w:val="19"/>
          <w:u w:val="single"/>
          <w:lang w:eastAsia="pt-BR"/>
        </w:rPr>
        <w:t xml:space="preserve">Assistente de </w:t>
      </w:r>
      <w:proofErr w:type="gramStart"/>
      <w:r w:rsidRPr="00C81948">
        <w:rPr>
          <w:rFonts w:ascii="Calibri" w:eastAsia="Times New Roman" w:hAnsi="Calibri" w:cs="Arial"/>
          <w:b/>
          <w:bCs/>
          <w:color w:val="222222"/>
          <w:sz w:val="19"/>
          <w:szCs w:val="19"/>
          <w:u w:val="single"/>
          <w:lang w:eastAsia="pt-BR"/>
        </w:rPr>
        <w:t>Departamento Pessoal</w:t>
      </w:r>
      <w:proofErr w:type="gramEnd"/>
    </w:p>
    <w:p w:rsidR="000C1389" w:rsidRPr="00C81948" w:rsidRDefault="000C1389" w:rsidP="000C138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C8194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Requisitos: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Responder pelas rescisões, emitir formulários, seguro desemprego;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Homologar rescisão de contrato;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Calcular férias;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Calcular e controlar vale- transporte e cartões de utilização;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Responder por todo processo de admissão;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Controlar e fechar planilhas de Plano de Saúde;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Controlar e calcular seguro de vida;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Ler e cadastrar Ponto Eletrônico;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Auxiliar fechamento de folha de pagamento;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Controlar exames periódicos;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Controlar colaboradores afastados e encaminhá-los para exame de retorno ao trabalho;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Atender fornecedores de benefícios;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Emitir Contra cheque e entregar aos colaboradores;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Emitir crachás;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Manter arquivos organizados;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</w:t>
      </w:r>
      <w:r w:rsidRPr="00C81948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Morador da Serra.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Salário: A combinar</w:t>
      </w:r>
    </w:p>
    <w:p w:rsidR="000C1389" w:rsidRPr="00C81948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0C1389" w:rsidRPr="000C1389" w:rsidRDefault="000C1389" w:rsidP="000C13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Interessados enviar currículo para </w:t>
      </w:r>
      <w:hyperlink r:id="rId5" w:tgtFrame="_blank" w:history="1">
        <w:r w:rsidRPr="00C81948">
          <w:rPr>
            <w:rFonts w:ascii="Arial" w:eastAsia="Times New Roman" w:hAnsi="Arial" w:cs="Arial"/>
            <w:color w:val="0068CF"/>
            <w:sz w:val="20"/>
            <w:szCs w:val="20"/>
            <w:u w:val="single"/>
            <w:lang w:eastAsia="pt-BR"/>
          </w:rPr>
          <w:t>oportunidades.selecao@hotmail.com</w:t>
        </w:r>
      </w:hyperlink>
      <w:r w:rsidRPr="00C81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até dia 10/03/2015 e no assunto colocar o nome do cargo.</w:t>
      </w:r>
      <w:bookmarkStart w:id="0" w:name="_GoBack"/>
      <w:bookmarkEnd w:id="0"/>
    </w:p>
    <w:sectPr w:rsidR="000C1389" w:rsidRPr="000C1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8"/>
    <w:rsid w:val="00016EB4"/>
    <w:rsid w:val="000C1389"/>
    <w:rsid w:val="00464D22"/>
    <w:rsid w:val="00C81948"/>
    <w:rsid w:val="00D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1948"/>
  </w:style>
  <w:style w:type="character" w:styleId="Forte">
    <w:name w:val="Strong"/>
    <w:basedOn w:val="Fontepargpadro"/>
    <w:uiPriority w:val="22"/>
    <w:qFormat/>
    <w:rsid w:val="00C819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8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1948"/>
  </w:style>
  <w:style w:type="character" w:styleId="Forte">
    <w:name w:val="Strong"/>
    <w:basedOn w:val="Fontepargpadro"/>
    <w:uiPriority w:val="22"/>
    <w:qFormat/>
    <w:rsid w:val="00C819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8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tunidades.selec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Martins</dc:creator>
  <cp:lastModifiedBy>Mateus Martins</cp:lastModifiedBy>
  <cp:revision>3</cp:revision>
  <dcterms:created xsi:type="dcterms:W3CDTF">2015-03-06T19:02:00Z</dcterms:created>
  <dcterms:modified xsi:type="dcterms:W3CDTF">2015-03-06T20:02:00Z</dcterms:modified>
</cp:coreProperties>
</file>